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D4B" w:rsidRPr="008906D3" w:rsidRDefault="00975D4B" w:rsidP="00975D4B">
      <w:pPr>
        <w:spacing w:after="0" w:line="240" w:lineRule="auto"/>
        <w:jc w:val="center"/>
        <w:rPr>
          <w:rFonts w:ascii="Tahoma" w:eastAsia="Times New Roman" w:hAnsi="Tahoma" w:cs="Tahoma"/>
          <w:b/>
          <w:bCs/>
          <w:color w:val="000000"/>
          <w:sz w:val="14"/>
          <w:szCs w:val="14"/>
          <w:lang w:eastAsia="es-ES"/>
        </w:rPr>
      </w:pPr>
    </w:p>
    <w:p w:rsidR="00975D4B" w:rsidRPr="00135D5F" w:rsidRDefault="00975D4B" w:rsidP="00975D4B">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Suplemento</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Registro Oficial</w:t>
      </w: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No. 700,</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Viernes 26 de Febrero de 2016</w:t>
      </w:r>
    </w:p>
    <w:p w:rsidR="00975D4B" w:rsidRDefault="00975D4B" w:rsidP="00975D4B">
      <w:pPr>
        <w:spacing w:after="0" w:line="240" w:lineRule="auto"/>
        <w:jc w:val="center"/>
        <w:rPr>
          <w:rFonts w:ascii="Tahoma" w:hAnsi="Tahoma" w:cs="Tahoma"/>
          <w:b/>
          <w:bCs/>
          <w:color w:val="000000"/>
          <w:sz w:val="14"/>
          <w:szCs w:val="14"/>
        </w:rPr>
      </w:pPr>
    </w:p>
    <w:p w:rsidR="00975D4B" w:rsidRPr="00135D5F" w:rsidRDefault="00975D4B" w:rsidP="00975D4B">
      <w:pPr>
        <w:pStyle w:val="Prrafodelista"/>
        <w:numPr>
          <w:ilvl w:val="0"/>
          <w:numId w:val="2"/>
        </w:numPr>
        <w:shd w:val="clear" w:color="auto" w:fill="FFFFFF"/>
        <w:spacing w:after="0" w:line="240" w:lineRule="auto"/>
        <w:jc w:val="both"/>
        <w:rPr>
          <w:sz w:val="18"/>
          <w:szCs w:val="18"/>
        </w:rPr>
      </w:pPr>
      <w:r w:rsidRPr="00135D5F">
        <w:rPr>
          <w:rFonts w:ascii="Tahoma" w:hAnsi="Tahoma" w:cs="Tahoma"/>
          <w:b/>
          <w:color w:val="0070C0"/>
          <w:sz w:val="18"/>
          <w:szCs w:val="18"/>
        </w:rPr>
        <w:t xml:space="preserve">Resolución </w:t>
      </w:r>
      <w:hyperlink r:id="rId6" w:history="1">
        <w:r w:rsidRPr="00135D5F">
          <w:rPr>
            <w:rFonts w:ascii="Tahoma" w:hAnsi="Tahoma" w:cs="Tahoma"/>
            <w:b/>
            <w:color w:val="0070C0"/>
            <w:sz w:val="18"/>
            <w:szCs w:val="18"/>
          </w:rPr>
          <w:t>NAC-DGERCGC16-00000110</w:t>
        </w:r>
      </w:hyperlink>
      <w:r w:rsidRPr="00135D5F">
        <w:rPr>
          <w:rFonts w:ascii="Tahoma" w:hAnsi="Tahoma" w:cs="Tahoma"/>
          <w:b/>
          <w:color w:val="0070C0"/>
          <w:sz w:val="18"/>
          <w:szCs w:val="18"/>
        </w:rPr>
        <w:t xml:space="preserve">: </w:t>
      </w:r>
      <w:r w:rsidRPr="00135D5F">
        <w:rPr>
          <w:rFonts w:ascii="Tahoma" w:hAnsi="Tahoma" w:cs="Tahoma"/>
          <w:sz w:val="18"/>
          <w:szCs w:val="18"/>
        </w:rPr>
        <w:t>Amplíese el plazo para la presentación del Anexo de Gastos Personales</w:t>
      </w:r>
      <w:r w:rsidRPr="00135D5F">
        <w:rPr>
          <w:sz w:val="18"/>
          <w:szCs w:val="18"/>
        </w:rPr>
        <w:t> </w:t>
      </w:r>
    </w:p>
    <w:p w:rsidR="00975D4B" w:rsidRPr="00135D5F" w:rsidRDefault="00975D4B" w:rsidP="00975D4B">
      <w:pPr>
        <w:pStyle w:val="Prrafodelista"/>
        <w:shd w:val="clear" w:color="auto" w:fill="FFFFFF"/>
        <w:spacing w:after="0" w:line="240" w:lineRule="auto"/>
        <w:jc w:val="both"/>
        <w:rPr>
          <w:b/>
          <w:color w:val="0070C0"/>
          <w:sz w:val="18"/>
          <w:szCs w:val="18"/>
        </w:rPr>
      </w:pPr>
    </w:p>
    <w:p w:rsidR="00975D4B" w:rsidRPr="004E5E30" w:rsidRDefault="00975D4B" w:rsidP="00975D4B">
      <w:pPr>
        <w:shd w:val="clear" w:color="auto" w:fill="FFFFFF"/>
        <w:spacing w:after="0" w:line="240" w:lineRule="auto"/>
        <w:jc w:val="center"/>
        <w:rPr>
          <w:rFonts w:ascii="Tahoma" w:eastAsia="Times New Roman" w:hAnsi="Tahoma" w:cs="Tahoma"/>
          <w:color w:val="000000"/>
          <w:sz w:val="14"/>
          <w:szCs w:val="14"/>
          <w:lang w:eastAsia="es-ES"/>
        </w:rPr>
      </w:pPr>
      <w:bookmarkStart w:id="0" w:name="_GoBack"/>
      <w:bookmarkEnd w:id="0"/>
      <w:r w:rsidRPr="004E5E30">
        <w:rPr>
          <w:rFonts w:ascii="Tahoma" w:eastAsia="Times New Roman" w:hAnsi="Tahoma" w:cs="Tahoma"/>
          <w:b/>
          <w:bCs/>
          <w:color w:val="000000"/>
          <w:sz w:val="14"/>
          <w:szCs w:val="14"/>
          <w:lang w:eastAsia="es-ES"/>
        </w:rPr>
        <w:t>Considerando:</w:t>
      </w:r>
      <w:r w:rsidRPr="008906D3">
        <w:rPr>
          <w:rFonts w:ascii="Tahoma" w:eastAsia="Times New Roman" w:hAnsi="Tahoma" w:cs="Tahoma"/>
          <w:b/>
          <w:bCs/>
          <w:color w:val="000000"/>
          <w:sz w:val="14"/>
          <w:szCs w:val="14"/>
          <w:lang w:eastAsia="es-ES"/>
        </w:rPr>
        <w:t> </w:t>
      </w:r>
      <w:r w:rsidRPr="004E5E30">
        <w:rPr>
          <w:rFonts w:ascii="Tahoma" w:eastAsia="Times New Roman" w:hAnsi="Tahoma" w:cs="Tahoma"/>
          <w:b/>
          <w:bCs/>
          <w:color w:val="000000"/>
          <w:sz w:val="14"/>
          <w:szCs w:val="14"/>
          <w:lang w:eastAsia="es-ES"/>
        </w:rPr>
        <w:br/>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shd w:val="clear" w:color="auto" w:fill="FFFFFF"/>
          <w:lang w:eastAsia="es-ES"/>
        </w:rPr>
        <w:t>Que el artículo 83 de la Constitución de la República establece que son deberes y responsabilidades de los habitantes del Ecuador acatar y cumplir con la Constitución, la ley y las decisiones legitimas de autoridad competente, cooperar con el Estado y la comunidad en la seguridad social y pagar los tributos establecidos por la ley;</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conforme al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el artículo 300 de la Constitución de la República del Ecuador señala que el régimen tributario se regirá por los principios de generalidad, progresividad, eficiencia, simplicidad administrativa, irretroactividad, equidad, transparencia y suficiencia recaudatoria;</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mediante resolución NAC-DGECGC09-00391 del 1 de junio de 2009, publicada en el Suplemento del Registro Oficial No. 613 de 16 de junio de 2009, el Servicio de Rentas Internas estableció la forma y condiciones que las personas naturales deben presentar la información relativa a sus gastos personales;</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según dispone el artículo 30 del Código Civil un caso de fuerza mayor o caso fortuito es aquel imprevisto al que no es posible resistir, como un naufragio, un terremoto, el apresamiento de enemigos, los actos de autoridad ejercidos por un funcionario público;</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durante el mes de febrero de 2016, el Servicio de Rentas Internas ha implementado una nueva herramienta tecnológica para la presentación del Anexo de Gastos Personales en línea;</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es deber de la Administración Tributaria a través del Director General del Servicio de Rentas Internas expedir las normas necesarias para facilitar a los contribuyentes el cumplimiento de sus obligaciones tributarias y deberes formales, de conformidad con la ley y,</w:t>
      </w:r>
    </w:p>
    <w:p w:rsidR="00975D4B" w:rsidRDefault="00975D4B" w:rsidP="00975D4B">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En ejercicio de sus facultades legales,</w:t>
      </w:r>
    </w:p>
    <w:p w:rsidR="00975D4B" w:rsidRPr="004E5E30" w:rsidRDefault="00975D4B" w:rsidP="00975D4B">
      <w:pPr>
        <w:spacing w:after="0" w:line="240" w:lineRule="auto"/>
        <w:jc w:val="both"/>
        <w:rPr>
          <w:rFonts w:ascii="Tahoma" w:eastAsia="Times New Roman" w:hAnsi="Tahoma" w:cs="Tahoma"/>
          <w:sz w:val="14"/>
          <w:szCs w:val="14"/>
          <w:lang w:eastAsia="es-ES"/>
        </w:rPr>
      </w:pPr>
    </w:p>
    <w:p w:rsidR="00975D4B" w:rsidRPr="004E5E30" w:rsidRDefault="00975D4B" w:rsidP="00975D4B">
      <w:pPr>
        <w:shd w:val="clear" w:color="auto" w:fill="FFFFFF"/>
        <w:spacing w:after="0" w:line="240" w:lineRule="auto"/>
        <w:jc w:val="center"/>
        <w:rPr>
          <w:rFonts w:ascii="Tahoma" w:eastAsia="Times New Roman" w:hAnsi="Tahoma" w:cs="Tahoma"/>
          <w:color w:val="000000"/>
          <w:sz w:val="14"/>
          <w:szCs w:val="14"/>
          <w:lang w:eastAsia="es-ES"/>
        </w:rPr>
      </w:pPr>
      <w:r w:rsidRPr="004E5E30">
        <w:rPr>
          <w:rFonts w:ascii="Tahoma" w:eastAsia="Times New Roman" w:hAnsi="Tahoma" w:cs="Tahoma"/>
          <w:b/>
          <w:bCs/>
          <w:color w:val="000000"/>
          <w:sz w:val="14"/>
          <w:szCs w:val="14"/>
          <w:lang w:eastAsia="es-ES"/>
        </w:rPr>
        <w:t>Resuelve:</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b/>
          <w:bCs/>
          <w:color w:val="000000"/>
          <w:sz w:val="14"/>
          <w:szCs w:val="14"/>
          <w:lang w:eastAsia="es-ES"/>
        </w:rPr>
        <w:t>Ampliar el plazo para la presentación del Anexo de Gastos Personales</w:t>
      </w:r>
    </w:p>
    <w:p w:rsidR="00975D4B" w:rsidRDefault="00975D4B" w:rsidP="00975D4B">
      <w:pPr>
        <w:shd w:val="clear" w:color="auto" w:fill="FFFFFF"/>
        <w:spacing w:after="0" w:line="240" w:lineRule="auto"/>
        <w:jc w:val="both"/>
        <w:rPr>
          <w:rFonts w:ascii="Tahoma" w:eastAsia="Times New Roman" w:hAnsi="Tahoma" w:cs="Tahoma"/>
          <w:b/>
          <w:bCs/>
          <w:color w:val="000000"/>
          <w:sz w:val="14"/>
          <w:szCs w:val="14"/>
          <w:shd w:val="clear" w:color="auto" w:fill="FFFFFF"/>
          <w:lang w:eastAsia="es-ES"/>
        </w:rPr>
      </w:pPr>
    </w:p>
    <w:p w:rsidR="00975D4B" w:rsidRDefault="00975D4B" w:rsidP="00975D4B">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Autorizar por única vez a todos los sujetos pasivos, cuya fecha de vencimiento para la presentación del Anexo de Gastos Personales feneciere durante el mes de febrero del 2016, presentar dicho anexo hasta el día lunes 29 de febrero de 2016, sin que por este concepto se generen o se deban pagar multas de cualquier tipo.</w:t>
      </w:r>
    </w:p>
    <w:p w:rsidR="00975D4B" w:rsidRDefault="00975D4B" w:rsidP="00975D4B">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2. Control posterior.- </w:t>
      </w:r>
      <w:r w:rsidRPr="008906D3">
        <w:rPr>
          <w:rFonts w:ascii="Tahoma" w:eastAsia="Times New Roman" w:hAnsi="Tahoma" w:cs="Tahoma"/>
          <w:color w:val="000000"/>
          <w:sz w:val="14"/>
          <w:szCs w:val="14"/>
          <w:shd w:val="clear" w:color="auto" w:fill="FFFFFF"/>
          <w:lang w:eastAsia="es-ES"/>
        </w:rPr>
        <w:t>Todas las unidades del Servicio de Rentas Internas deberán considerar lo dispuesto en la presente Resolución dentro de sus respectivos procesos de control.</w:t>
      </w:r>
    </w:p>
    <w:p w:rsidR="00975D4B" w:rsidRDefault="00975D4B" w:rsidP="00975D4B">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La presente Resolución entrará en vigencia sin perjuicio de su publicación en el Registro Oficial.</w:t>
      </w:r>
    </w:p>
    <w:p w:rsidR="00975D4B" w:rsidRDefault="00975D4B" w:rsidP="00975D4B">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Comuníquese y publíquese.</w:t>
      </w:r>
    </w:p>
    <w:p w:rsidR="00975D4B" w:rsidRPr="008906D3" w:rsidRDefault="00975D4B" w:rsidP="00975D4B">
      <w:pPr>
        <w:shd w:val="clear" w:color="auto" w:fill="FFFFFF"/>
        <w:spacing w:after="0" w:line="240" w:lineRule="auto"/>
        <w:jc w:val="both"/>
        <w:rPr>
          <w:rFonts w:ascii="Tahoma" w:eastAsia="Times New Roman" w:hAnsi="Tahoma" w:cs="Tahoma"/>
          <w:b/>
          <w:bCs/>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 M., a 24 de febrero de 2016.</w:t>
      </w:r>
    </w:p>
    <w:p w:rsidR="008E49C1" w:rsidRDefault="00975D4B"/>
    <w:sectPr w:rsidR="008E49C1">
      <w:headerReference w:type="default" r:id="rId7"/>
      <w:footerReference w:type="default" r:id="rId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1D" w:rsidRDefault="00975D4B" w:rsidP="00240A1D">
    <w:pPr>
      <w:pStyle w:val="Piedepgina"/>
    </w:pPr>
    <w:r>
      <w:rPr>
        <w:noProof/>
        <w:lang w:val="es-EC" w:eastAsia="es-EC"/>
      </w:rPr>
      <mc:AlternateContent>
        <mc:Choice Requires="wps">
          <w:drawing>
            <wp:anchor distT="0" distB="0" distL="114300" distR="114300" simplePos="0" relativeHeight="251661312" behindDoc="0" locked="0" layoutInCell="0" allowOverlap="1" wp14:anchorId="56555797" wp14:editId="230E1300">
              <wp:simplePos x="0" y="0"/>
              <wp:positionH relativeFrom="rightMargin">
                <wp:align>center</wp:align>
              </wp:positionH>
              <wp:positionV relativeFrom="margin">
                <wp:align>bottom</wp:align>
              </wp:positionV>
              <wp:extent cx="511175" cy="6172200"/>
              <wp:effectExtent l="0" t="0" r="0" b="0"/>
              <wp:wrapNone/>
              <wp:docPr id="31"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601412218"/>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240A1D" w:rsidRPr="00A75150" w:rsidRDefault="00975D4B" w:rsidP="00240A1D">
                              <w:pPr>
                                <w:rPr>
                                  <w:color w:val="0070C0"/>
                                  <w:spacing w:val="60"/>
                                </w:rPr>
                              </w:pPr>
                              <w:r>
                                <w:rPr>
                                  <w:color w:val="0070C0"/>
                                  <w:spacing w:val="60"/>
                                </w:rPr>
                                <w:t xml:space="preserve">     </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6" style="position:absolute;margin-left:0;margin-top:0;width:40.25pt;height:486pt;z-index:251661312;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WUxne+ACAAA7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601412218"/>
                      <w:showingPlcHd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240A1D" w:rsidRPr="00A75150" w:rsidRDefault="00975D4B" w:rsidP="00240A1D">
                        <w:pPr>
                          <w:rPr>
                            <w:color w:val="0070C0"/>
                            <w:spacing w:val="60"/>
                          </w:rPr>
                        </w:pPr>
                        <w:r>
                          <w:rPr>
                            <w:color w:val="0070C0"/>
                            <w:spacing w:val="60"/>
                          </w:rPr>
                          <w:t xml:space="preserve">     </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0288" behindDoc="0" locked="0" layoutInCell="0" allowOverlap="1" wp14:anchorId="6DFBA3FD" wp14:editId="69CF1B91">
              <wp:simplePos x="0" y="0"/>
              <wp:positionH relativeFrom="rightMargin">
                <wp:align>center</wp:align>
              </wp:positionH>
              <wp:positionV relativeFrom="bottomMargin">
                <wp:align>center</wp:align>
              </wp:positionV>
              <wp:extent cx="457200" cy="301752"/>
              <wp:effectExtent l="1587" t="0" r="1588" b="1587"/>
              <wp:wrapNone/>
              <wp:docPr id="224"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25"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26"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27"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0288;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8rcYA&#10;AADcAAAADwAAAGRycy9kb3ducmV2LnhtbESPQWvCQBSE7wX/w/KEXkQ3TWmRNBsRacWLiFqkx0f2&#10;NQnNvg27G4399W5B6HGYmW+YfDGYVpzJ+caygqdZAoK4tLrhSsHn8WM6B+EDssbWMim4kodFMXrI&#10;MdP2wns6H0IlIoR9hgrqELpMSl/WZNDPbEccvW/rDIYoXSW1w0uEm1amSfIqDTYcF2rsaFVT+XPo&#10;jYL+6r/6frv+fd/t/OT47E7paTBKPY6H5RuIQEP4D9/bG60gTV/g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S8rc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vrcQA&#10;AADcAAAADwAAAGRycy9kb3ducmV2LnhtbESPwWrDMBBE74X+g9hCbo1sH0Jwo4RSSDDNJXH6AYu1&#10;tUytlWopsf33UaGQ4zAzb5jNbrK9uNEQOscK8mUGgrhxuuNWwddl/7oGESKyxt4xKZgpwG77/LTB&#10;UruRz3SrYysShEOJCkyMvpQyNIYshqXzxMn7doPFmOTQSj3gmOC2l0WWraTFjtOCQU8fhpqf+moV&#10;+M99fjiOdXOdT76dfk2VH+ZKqcXL9P4GItIUH+H/dqUVFMUK/s6k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b63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LesYA&#10;AADcAAAADwAAAGRycy9kb3ducmV2LnhtbESPQWsCMRSE7wX/Q3hCL6VmjcXW1ShSKBQspa4e6u2x&#10;ee6ubl6WJNXtv28KhR6HmfmGWax624oL+dA41jAeZSCIS2carjTsdy/3TyBCRDbYOiYN3xRgtRzc&#10;LDA37spbuhSxEgnCIUcNdYxdLmUoa7IYRq4jTt7ReYsxSV9J4/Ga4LaVKsum0mLDaaHGjp5rKs/F&#10;l9Xw8P52MJvJ3UmxnBQbrz5w9llpfTvs13MQkfr4H/5rvxoNSj3C75l0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mLesYAAADcAAAADwAAAAAAAAAAAAAAAACYAgAAZHJz&#10;L2Rvd25yZXYueG1sUEsFBgAAAAAEAAQA9QAAAIsDAAAAAA==&#10;" adj="9730" filled="f" stroked="f" strokecolor="white"/>
              <w10:wrap anchorx="margin" anchory="margin"/>
            </v:group>
          </w:pict>
        </mc:Fallback>
      </mc:AlternateContent>
    </w:r>
  </w:p>
  <w:p w:rsidR="00240A1D" w:rsidRDefault="00975D4B">
    <w:pPr>
      <w:pStyle w:val="Piedepgina"/>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50425"/>
      <w:docPartObj>
        <w:docPartGallery w:val="Page Numbers (Top of Page)"/>
        <w:docPartUnique/>
      </w:docPartObj>
    </w:sdtPr>
    <w:sdtEndPr>
      <w:rPr>
        <w:noProof/>
      </w:rPr>
    </w:sdtEndPr>
    <w:sdtContent>
      <w:p w:rsidR="00240A1D" w:rsidRDefault="00975D4B" w:rsidP="00240A1D">
        <w:pPr>
          <w:pStyle w:val="Encabezado"/>
        </w:pPr>
        <w:r w:rsidRPr="00047711">
          <w:rPr>
            <w:noProof/>
            <w:color w:val="0070C0"/>
            <w:sz w:val="28"/>
            <w:lang w:val="es-EC" w:eastAsia="es-EC"/>
          </w:rPr>
          <mc:AlternateContent>
            <mc:Choice Requires="wpg">
              <w:drawing>
                <wp:anchor distT="0" distB="0" distL="114300" distR="114300" simplePos="0" relativeHeight="251659264" behindDoc="0" locked="0" layoutInCell="0" allowOverlap="1" wp14:anchorId="259D4675" wp14:editId="1DA4CCE6">
                  <wp:simplePos x="0" y="0"/>
                  <wp:positionH relativeFrom="rightMargin">
                    <wp:posOffset>-5960427</wp:posOffset>
                  </wp:positionH>
                  <wp:positionV relativeFrom="bottomMargin">
                    <wp:posOffset>-9512354</wp:posOffset>
                  </wp:positionV>
                  <wp:extent cx="457200" cy="301625"/>
                  <wp:effectExtent l="1587" t="0" r="1588" b="1587"/>
                  <wp:wrapNone/>
                  <wp:docPr id="1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0"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1"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6"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pt;margin-top:-749pt;width:36pt;height:23.75pt;rotation:90;flip:x;z-index:251659264;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sdcEA&#10;AADbAAAADwAAAGRycy9kb3ducmV2LnhtbERPTYvCMBC9L/gfwgheFk2tsEg1ioiKl0VWRTwOzdgW&#10;m0lJUq37681hYY+P9z1fdqYWD3K+sqxgPEpAEOdWV1woOJ+2wykIH5A11pZJwYs8LBe9jzlm2j75&#10;hx7HUIgYwj5DBWUITSalz0sy6Ee2IY7czTqDIUJXSO3wGcNNLdMk+ZIGK44NJTa0Lim/H1ujoH35&#10;a9t+7343h4P/PE3cJb10RqlBv1vNQATqwr/4z73XCtK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rHXBAAAA2wAAAA8AAAAAAAAAAAAAAAAAmAIAAGRycy9kb3du&#10;cmV2LnhtbFBLBQYAAAAABAAEAPUAAACG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WVpMMA&#10;AADbAAAADwAAAGRycy9kb3ducmV2LnhtbESPQWvCQBSE74L/YXlCb7qJh1Kiq0hBCe3Fpv6AR/aZ&#10;DWbfbrOrSf69Wyj0OMzMN8x2P9pOPKgPrWMF+SoDQVw73XKj4PJ9XL6BCBFZY+eYFEwUYL+bz7ZY&#10;aDfwFz2q2IgE4VCgAhOjL6QMtSGLYeU8cfKurrcYk+wbqXscEtx2cp1lr9Jiy2nBoKd3Q/WtulsF&#10;/uOYnz6Hqr5PZ9+MP6bMT1Op1MtiPGxARBrjf/ivXWoF6xx+v6QfIH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WV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i+MUA&#10;AADbAAAADwAAAGRycy9kb3ducmV2LnhtbESPQWvCQBSE70L/w/IKXqTZNIq0qauUQkFQxKYe7O2R&#10;fU3SZt+G3VXjv3cFweMwM98ws0VvWnEk5xvLCp6TFARxaXXDlYLd9+fTCwgfkDW2lknBmTws5g+D&#10;GebanviLjkWoRISwz1FBHUKXS+nLmgz6xHbE0fu1zmCI0lVSOzxFuGlllqZTabDhuFBjRx81lf/F&#10;wSiYbNY/ejUe/WUsx8XKZVt83VdKDR/79zcQgfpwD9/aS60gm8L1S/wBc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1OL4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Pr>
            <w:noProof/>
            <w:color w:val="0070C0"/>
            <w:sz w:val="28"/>
          </w:rPr>
          <w:t>1</w:t>
        </w:r>
        <w:r w:rsidRPr="00047711">
          <w:rPr>
            <w:noProof/>
            <w:color w:val="0070C0"/>
            <w:sz w:val="28"/>
          </w:rPr>
          <w:fldChar w:fldCharType="end"/>
        </w:r>
        <w:r w:rsidRPr="00047711">
          <w:rPr>
            <w:noProof/>
            <w:color w:val="0070C0"/>
            <w:sz w:val="28"/>
          </w:rPr>
          <w:t xml:space="preserve">   </w:t>
        </w:r>
      </w:p>
    </w:sdtContent>
  </w:sdt>
  <w:p w:rsidR="00240A1D" w:rsidRDefault="00975D4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9pt;height:9pt" o:bullet="t">
        <v:imagedata r:id="rId1" o:title="BD15059_"/>
      </v:shape>
    </w:pict>
  </w:numPicBullet>
  <w:abstractNum w:abstractNumId="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D4B"/>
    <w:rsid w:val="00323ADC"/>
    <w:rsid w:val="0064604D"/>
    <w:rsid w:val="00975D4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D4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75D4B"/>
    <w:pPr>
      <w:ind w:left="720"/>
      <w:contextualSpacing/>
    </w:pPr>
  </w:style>
  <w:style w:type="paragraph" w:styleId="Encabezado">
    <w:name w:val="header"/>
    <w:basedOn w:val="Normal"/>
    <w:link w:val="EncabezadoCar"/>
    <w:uiPriority w:val="99"/>
    <w:unhideWhenUsed/>
    <w:rsid w:val="00975D4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5D4B"/>
    <w:rPr>
      <w:lang w:val="es-ES"/>
    </w:rPr>
  </w:style>
  <w:style w:type="paragraph" w:styleId="Piedepgina">
    <w:name w:val="footer"/>
    <w:basedOn w:val="Normal"/>
    <w:link w:val="PiedepginaCar"/>
    <w:uiPriority w:val="99"/>
    <w:unhideWhenUsed/>
    <w:rsid w:val="00975D4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5D4B"/>
    <w:rPr>
      <w:lang w:val="es-ES"/>
    </w:rPr>
  </w:style>
  <w:style w:type="paragraph" w:styleId="Textodeglobo">
    <w:name w:val="Balloon Text"/>
    <w:basedOn w:val="Normal"/>
    <w:link w:val="TextodegloboCar"/>
    <w:uiPriority w:val="99"/>
    <w:semiHidden/>
    <w:unhideWhenUsed/>
    <w:rsid w:val="00975D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75D4B"/>
    <w:rPr>
      <w:rFonts w:ascii="Tahoma"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D4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75D4B"/>
    <w:pPr>
      <w:ind w:left="720"/>
      <w:contextualSpacing/>
    </w:pPr>
  </w:style>
  <w:style w:type="paragraph" w:styleId="Encabezado">
    <w:name w:val="header"/>
    <w:basedOn w:val="Normal"/>
    <w:link w:val="EncabezadoCar"/>
    <w:uiPriority w:val="99"/>
    <w:unhideWhenUsed/>
    <w:rsid w:val="00975D4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5D4B"/>
    <w:rPr>
      <w:lang w:val="es-ES"/>
    </w:rPr>
  </w:style>
  <w:style w:type="paragraph" w:styleId="Piedepgina">
    <w:name w:val="footer"/>
    <w:basedOn w:val="Normal"/>
    <w:link w:val="PiedepginaCar"/>
    <w:uiPriority w:val="99"/>
    <w:unhideWhenUsed/>
    <w:rsid w:val="00975D4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5D4B"/>
    <w:rPr>
      <w:lang w:val="es-ES"/>
    </w:rPr>
  </w:style>
  <w:style w:type="paragraph" w:styleId="Textodeglobo">
    <w:name w:val="Balloon Text"/>
    <w:basedOn w:val="Normal"/>
    <w:link w:val="TextodegloboCar"/>
    <w:uiPriority w:val="99"/>
    <w:semiHidden/>
    <w:unhideWhenUsed/>
    <w:rsid w:val="00975D4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75D4B"/>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incular('88116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573</Words>
  <Characters>3152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dc:creator>
  <cp:lastModifiedBy>NILO</cp:lastModifiedBy>
  <cp:revision>1</cp:revision>
  <dcterms:created xsi:type="dcterms:W3CDTF">2016-03-21T16:24:00Z</dcterms:created>
  <dcterms:modified xsi:type="dcterms:W3CDTF">2016-03-21T16:25:00Z</dcterms:modified>
</cp:coreProperties>
</file>